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6A00" w14:textId="7C9867F1" w:rsidR="00AD3122" w:rsidRPr="00FB04ED" w:rsidRDefault="00D50D2A" w:rsidP="00D50D2A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FB04ED">
        <w:rPr>
          <w:rFonts w:ascii="Times New Roman" w:hAnsi="Times New Roman"/>
          <w:color w:val="000000" w:themeColor="text1"/>
          <w:sz w:val="22"/>
          <w:szCs w:val="22"/>
        </w:rPr>
        <w:t>Załącznik</w:t>
      </w:r>
      <w:r w:rsidR="003452E1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 w:rsidRPr="00FB04ED">
        <w:rPr>
          <w:rFonts w:ascii="Times New Roman" w:hAnsi="Times New Roman"/>
          <w:color w:val="000000" w:themeColor="text1"/>
          <w:sz w:val="22"/>
          <w:szCs w:val="22"/>
        </w:rPr>
        <w:t>B.</w:t>
      </w:r>
      <w:r w:rsidR="009E6778">
        <w:rPr>
          <w:rFonts w:ascii="Times New Roman" w:hAnsi="Times New Roman"/>
          <w:color w:val="000000" w:themeColor="text1"/>
          <w:sz w:val="22"/>
          <w:szCs w:val="22"/>
        </w:rPr>
        <w:t>57</w:t>
      </w:r>
      <w:proofErr w:type="spellEnd"/>
      <w:r w:rsidRPr="00FB04ED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15484058" w14:textId="77777777" w:rsidR="00D50D2A" w:rsidRPr="00FB04ED" w:rsidRDefault="00D50D2A" w:rsidP="00D50D2A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6FE39DC0" w14:textId="3DED8FF6" w:rsidR="00905ECB" w:rsidRPr="00905ECB" w:rsidRDefault="00905ECB" w:rsidP="00905ECB">
      <w:pPr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LECZENIE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D2F43">
        <w:rPr>
          <w:rFonts w:ascii="Times New Roman" w:hAnsi="Times New Roman"/>
          <w:b/>
          <w:color w:val="000000" w:themeColor="text1"/>
          <w:sz w:val="28"/>
          <w:szCs w:val="28"/>
        </w:rPr>
        <w:t>PACJENTÓW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D2F43">
        <w:rPr>
          <w:rFonts w:ascii="Times New Roman" w:hAnsi="Times New Roman"/>
          <w:b/>
          <w:color w:val="000000" w:themeColor="text1"/>
          <w:sz w:val="28"/>
          <w:szCs w:val="28"/>
        </w:rPr>
        <w:t>ZE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SPASTYCZNOŚCI</w:t>
      </w:r>
      <w:r w:rsidR="008D2F43">
        <w:rPr>
          <w:rFonts w:ascii="Times New Roman" w:hAnsi="Times New Roman"/>
          <w:b/>
          <w:color w:val="000000" w:themeColor="text1"/>
          <w:sz w:val="28"/>
          <w:szCs w:val="28"/>
        </w:rPr>
        <w:t>Ą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KOŃCZYN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Z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UŻYCIEM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TOKSYNY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BOTULINOWEJ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TYPU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A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(ICD</w:t>
      </w:r>
      <w:r w:rsidR="00A265CB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855D9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I61</w:t>
      </w:r>
      <w:proofErr w:type="spellEnd"/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I63</w:t>
      </w:r>
      <w:proofErr w:type="spellEnd"/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I69</w:t>
      </w:r>
      <w:proofErr w:type="spellEnd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G35</w:t>
      </w:r>
      <w:proofErr w:type="spellEnd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G80</w:t>
      </w:r>
      <w:proofErr w:type="spellEnd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G82</w:t>
      </w:r>
      <w:proofErr w:type="spellEnd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G83</w:t>
      </w:r>
      <w:proofErr w:type="spellEnd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T90</w:t>
      </w:r>
      <w:proofErr w:type="spellEnd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3452E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57E35">
        <w:rPr>
          <w:rFonts w:ascii="Times New Roman" w:hAnsi="Times New Roman"/>
          <w:b/>
          <w:color w:val="000000" w:themeColor="text1"/>
          <w:sz w:val="28"/>
          <w:szCs w:val="28"/>
        </w:rPr>
        <w:t>T91</w:t>
      </w:r>
      <w:proofErr w:type="spellEnd"/>
      <w:r w:rsidRPr="00905ECB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4109"/>
        <w:gridCol w:w="5614"/>
      </w:tblGrid>
      <w:tr w:rsidR="003D23E9" w:rsidRPr="00FB04ED" w14:paraId="54250462" w14:textId="77777777" w:rsidTr="003452E1">
        <w:trPr>
          <w:trHeight w:val="567"/>
        </w:trPr>
        <w:tc>
          <w:tcPr>
            <w:tcW w:w="5000" w:type="pct"/>
            <w:gridSpan w:val="3"/>
            <w:vAlign w:val="center"/>
          </w:tcPr>
          <w:p w14:paraId="18E995D0" w14:textId="6259ACED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ZAKRES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ŚWIADCZENIA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GWARANTOWANEGO</w:t>
            </w:r>
          </w:p>
        </w:tc>
      </w:tr>
      <w:tr w:rsidR="003D23E9" w:rsidRPr="00FB04ED" w14:paraId="2C3E286A" w14:textId="77777777" w:rsidTr="003452E1">
        <w:trPr>
          <w:trHeight w:val="567"/>
        </w:trPr>
        <w:tc>
          <w:tcPr>
            <w:tcW w:w="1841" w:type="pct"/>
            <w:vAlign w:val="center"/>
          </w:tcPr>
          <w:p w14:paraId="2B2609CE" w14:textId="77777777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ŚWIADCZENIOBIORCY</w:t>
            </w:r>
          </w:p>
        </w:tc>
        <w:tc>
          <w:tcPr>
            <w:tcW w:w="1335" w:type="pct"/>
            <w:vAlign w:val="center"/>
          </w:tcPr>
          <w:p w14:paraId="6D52F462" w14:textId="6D0D4AD6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SCHEMAT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DAWKOWANIA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LEKÓW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br/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PROGRAMIE</w:t>
            </w:r>
          </w:p>
        </w:tc>
        <w:tc>
          <w:tcPr>
            <w:tcW w:w="1823" w:type="pct"/>
            <w:vAlign w:val="center"/>
          </w:tcPr>
          <w:p w14:paraId="2276378F" w14:textId="0DF9A0DD" w:rsidR="00D50D2A" w:rsidRPr="00FB04ED" w:rsidRDefault="00D50D2A" w:rsidP="0032369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B04ED">
              <w:rPr>
                <w:rFonts w:ascii="Times New Roman" w:hAnsi="Times New Roman"/>
                <w:b/>
                <w:color w:val="000000" w:themeColor="text1"/>
              </w:rPr>
              <w:t>BADA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NIA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DIAGNOSTYCZNE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WYKONYWANE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br/>
            </w:r>
            <w:r w:rsidR="00651862">
              <w:rPr>
                <w:rFonts w:ascii="Times New Roman" w:hAnsi="Times New Roman"/>
                <w:b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RAMACH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B04ED">
              <w:rPr>
                <w:rFonts w:ascii="Times New Roman" w:hAnsi="Times New Roman"/>
                <w:b/>
                <w:color w:val="000000" w:themeColor="text1"/>
              </w:rPr>
              <w:t>PROGRAMU</w:t>
            </w:r>
          </w:p>
        </w:tc>
      </w:tr>
      <w:tr w:rsidR="003D23E9" w:rsidRPr="00E87A2A" w14:paraId="14CA3FD0" w14:textId="77777777" w:rsidTr="003452E1">
        <w:tc>
          <w:tcPr>
            <w:tcW w:w="1841" w:type="pct"/>
          </w:tcPr>
          <w:p w14:paraId="15C091AD" w14:textId="6ACCA895" w:rsidR="008D2F43" w:rsidRPr="003452E1" w:rsidRDefault="008D2F43" w:rsidP="003452E1">
            <w:pPr>
              <w:pStyle w:val="Default"/>
              <w:spacing w:before="120"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ramach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lekowego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udostępnia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terapie:</w:t>
            </w:r>
          </w:p>
          <w:p w14:paraId="17A16155" w14:textId="7DE5D43B" w:rsidR="008D2F43" w:rsidRPr="003452E1" w:rsidRDefault="008D2F43" w:rsidP="003452E1">
            <w:pPr>
              <w:pStyle w:val="Akapitzlist"/>
              <w:numPr>
                <w:ilvl w:val="3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proofErr w:type="spellStart"/>
            <w:r w:rsidRPr="003452E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toxinum</w:t>
            </w:r>
            <w:proofErr w:type="spellEnd"/>
            <w:r w:rsidR="003452E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i/>
                <w:iCs/>
                <w:color w:val="000000" w:themeColor="text1"/>
              </w:rPr>
              <w:t>botulinum</w:t>
            </w:r>
            <w:proofErr w:type="spellEnd"/>
            <w:r w:rsidRPr="003452E1">
              <w:rPr>
                <w:rFonts w:ascii="Times New Roman" w:hAnsi="Times New Roman"/>
                <w:bCs/>
                <w:color w:val="000000" w:themeColor="text1"/>
              </w:rPr>
              <w:t>,</w:t>
            </w:r>
          </w:p>
          <w:p w14:paraId="251FB84C" w14:textId="0400F4A9" w:rsidR="008D2F43" w:rsidRPr="003452E1" w:rsidRDefault="008D2F43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zgodnie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ze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wskazanymi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opisie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programu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warunkami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kryteriami.</w:t>
            </w:r>
          </w:p>
          <w:p w14:paraId="703E3C69" w14:textId="77777777" w:rsidR="008D2F43" w:rsidRPr="003452E1" w:rsidRDefault="008D2F43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3D6F781" w14:textId="7F05BE5D" w:rsidR="00D50D2A" w:rsidRPr="003452E1" w:rsidRDefault="009F59D0" w:rsidP="003452E1">
            <w:pPr>
              <w:pStyle w:val="Default"/>
              <w:numPr>
                <w:ilvl w:val="0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  <w:p w14:paraId="274F585E" w14:textId="649356BC" w:rsidR="002D0654" w:rsidRPr="003452E1" w:rsidRDefault="002D0654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zastosowaniem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toksyny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botulinowej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Dysport</w:t>
            </w:r>
            <w:proofErr w:type="spellEnd"/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kwalifikuje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pacjentów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spełniających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łącznie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1,2,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1,2,5,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1,3,4,7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1,3,5,7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3F336AF" w14:textId="3EE725AD" w:rsidR="00D67A23" w:rsidRPr="003452E1" w:rsidRDefault="00205607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</w:t>
            </w:r>
            <w:r w:rsidR="007E0090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zastosowaniem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toksyny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botulinowej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Botox</w:t>
            </w:r>
            <w:proofErr w:type="spellEnd"/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kwalifikuje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pacjentów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spełniających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łącznie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1,2,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1,2,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F698A80" w14:textId="60D31D9D" w:rsidR="00F960ED" w:rsidRPr="003452E1" w:rsidRDefault="00302B70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</w:t>
            </w:r>
            <w:r w:rsidR="007E0090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zastosowaniem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toksyny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botulinowej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Xeomin</w:t>
            </w:r>
            <w:proofErr w:type="spellEnd"/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kwalifikuje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pacjentów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spełniających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łącznie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kryteria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1,2,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00168B5F" w14:textId="6752F918" w:rsidR="00D67A23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iek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roku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życia;</w:t>
            </w:r>
          </w:p>
          <w:p w14:paraId="24599E29" w14:textId="0DC88BFD" w:rsidR="0039290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acjenci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przebytym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niedokrwiennym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krwotocznym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udarze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mózgu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(ICD-10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I61</w:t>
            </w:r>
            <w:proofErr w:type="spellEnd"/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I63</w:t>
            </w:r>
            <w:proofErr w:type="spellEnd"/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I69</w:t>
            </w:r>
            <w:proofErr w:type="spellEnd"/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udokumentowanym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wypisem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szpital</w:t>
            </w:r>
            <w:r w:rsidR="008A0F2D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07E6D88F" w14:textId="07284579" w:rsidR="00C121EA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121EA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acjenci:</w:t>
            </w:r>
          </w:p>
          <w:p w14:paraId="7CF0F7AB" w14:textId="2703C1D7" w:rsidR="00C121EA" w:rsidRPr="003452E1" w:rsidRDefault="00C121EA" w:rsidP="003452E1">
            <w:pPr>
              <w:pStyle w:val="Default"/>
              <w:numPr>
                <w:ilvl w:val="4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przebytym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urazie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OUN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(ICD-10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T90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T91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udokumentowanym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wypisem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szpitala;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ECA9EAE" w14:textId="1083173A" w:rsidR="00C121EA" w:rsidRPr="003452E1" w:rsidRDefault="00C121EA" w:rsidP="003452E1">
            <w:pPr>
              <w:pStyle w:val="Default"/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CBADC68" w14:textId="4BEA5BB3" w:rsidR="00C121EA" w:rsidRPr="003452E1" w:rsidRDefault="00C121EA" w:rsidP="003452E1">
            <w:pPr>
              <w:pStyle w:val="Default"/>
              <w:numPr>
                <w:ilvl w:val="4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udokumentowanym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rozpoznaniem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stwardnienia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rozsianego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(ICD-10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G35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E36701F" w14:textId="68E96454" w:rsidR="00C121EA" w:rsidRPr="003452E1" w:rsidRDefault="00C121EA" w:rsidP="003452E1">
            <w:pPr>
              <w:pStyle w:val="Default"/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</w:p>
          <w:p w14:paraId="58CEF56C" w14:textId="68705A9E" w:rsidR="00C121EA" w:rsidRPr="003452E1" w:rsidRDefault="00C121EA" w:rsidP="003452E1">
            <w:pPr>
              <w:pStyle w:val="Default"/>
              <w:numPr>
                <w:ilvl w:val="4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udokumentowanym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rozpoznaniem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mózgowego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porażenia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dziecięcego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(ICD-10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G80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978394A" w14:textId="00381ADB" w:rsidR="00C121EA" w:rsidRPr="003452E1" w:rsidRDefault="00C121EA" w:rsidP="003452E1">
            <w:pPr>
              <w:pStyle w:val="Default"/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43AB888" w14:textId="528C0A51" w:rsidR="00C121EA" w:rsidRPr="003452E1" w:rsidRDefault="00C121EA" w:rsidP="003452E1">
            <w:pPr>
              <w:pStyle w:val="Default"/>
              <w:numPr>
                <w:ilvl w:val="4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udokumentowanym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rozpoznaniem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paraplegii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spastycznej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(ICD10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G82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G83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77F0B079" w14:textId="3A4B5729" w:rsidR="0039290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acjenci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potwierdzoną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spastycznością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górnej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8B4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8B4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8B4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górnych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stopniu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umiarkowanym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wyższym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(wynik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zmodyfikowanej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Ashwortha</w:t>
            </w:r>
            <w:proofErr w:type="spellEnd"/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MAS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przynamniej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jednej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grupie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mięśniowej</w:t>
            </w:r>
            <w:r w:rsidR="00E55E7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19E318B7" w14:textId="4BC0E6F7" w:rsidR="00205607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acjenci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potwierdzoną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spastycznością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dolnej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8B4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8B4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868B4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dolnych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stopniu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umiarkowanym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wyższym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(wynik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zmodyfikowanej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Ashwortha</w:t>
            </w:r>
            <w:proofErr w:type="spellEnd"/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MAS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2)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przynamniej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jednej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grupie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05607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mięśniowej;</w:t>
            </w:r>
          </w:p>
          <w:p w14:paraId="48090D00" w14:textId="048F6265" w:rsidR="0039290F" w:rsidRPr="003452E1" w:rsidRDefault="00855D96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5E73" w:rsidRPr="003452E1">
              <w:rPr>
                <w:rFonts w:ascii="Times New Roman" w:hAnsi="Times New Roman" w:cs="Times New Roman"/>
                <w:sz w:val="20"/>
                <w:szCs w:val="20"/>
              </w:rPr>
              <w:t>acjent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E73" w:rsidRPr="003452E1">
              <w:rPr>
                <w:rFonts w:ascii="Times New Roman" w:hAnsi="Times New Roman" w:cs="Times New Roman"/>
                <w:sz w:val="20"/>
                <w:szCs w:val="20"/>
              </w:rPr>
              <w:t>zdolny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E73" w:rsidRPr="003452E1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E73" w:rsidRPr="003452E1">
              <w:rPr>
                <w:rFonts w:ascii="Times New Roman" w:hAnsi="Times New Roman" w:cs="Times New Roman"/>
                <w:sz w:val="20"/>
                <w:szCs w:val="20"/>
              </w:rPr>
              <w:t>przyjęcia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E73" w:rsidRPr="003452E1">
              <w:rPr>
                <w:rFonts w:ascii="Times New Roman" w:hAnsi="Times New Roman" w:cs="Times New Roman"/>
                <w:sz w:val="20"/>
                <w:szCs w:val="20"/>
              </w:rPr>
              <w:t>pozycji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E73" w:rsidRPr="003452E1">
              <w:rPr>
                <w:rFonts w:ascii="Times New Roman" w:hAnsi="Times New Roman" w:cs="Times New Roman"/>
                <w:sz w:val="20"/>
                <w:szCs w:val="20"/>
              </w:rPr>
              <w:t>stojącej</w:t>
            </w:r>
            <w:r w:rsidR="00B44D21" w:rsidRPr="003452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11A26E" w14:textId="705338C0" w:rsidR="009F59D0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rak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przeciwskazań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F5431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wymienionych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Charakterystyce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Produktu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67A23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Leczniczego</w:t>
            </w:r>
            <w:r w:rsidR="00110F60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6128C81" w14:textId="63E425B6" w:rsidR="00A87497" w:rsidRPr="003452E1" w:rsidRDefault="00A87497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zależności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od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A35FD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decyzji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lekarza,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zaleca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rozpoczęcie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indywidualnej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kinezyterapii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później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tygodnie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podaniu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leku.</w:t>
            </w:r>
          </w:p>
          <w:p w14:paraId="354441D7" w14:textId="77777777" w:rsidR="00110F60" w:rsidRPr="003452E1" w:rsidRDefault="00110F60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2152E87" w14:textId="054E15B5" w:rsidR="009C0DFA" w:rsidRPr="003452E1" w:rsidRDefault="009C0DFA" w:rsidP="003452E1">
            <w:pPr>
              <w:pStyle w:val="Default"/>
              <w:numPr>
                <w:ilvl w:val="0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Określenie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czasu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leczenia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programie</w:t>
            </w:r>
          </w:p>
          <w:p w14:paraId="2312CB7C" w14:textId="7325C2A7" w:rsidR="00F6012F" w:rsidRPr="003452E1" w:rsidRDefault="00F6012F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należy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kontynuować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momentu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podjęcia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przez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lekarza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decyzji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wyłączeniu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pacjenta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programu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zgodnie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kryteriami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wyłączenia.</w:t>
            </w:r>
          </w:p>
          <w:p w14:paraId="46E07241" w14:textId="73A0E75E" w:rsidR="00A80535" w:rsidRPr="003452E1" w:rsidRDefault="00F6012F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Maksymalnie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finansuje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się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podania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preparatu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każdą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leczoną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każdym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roku,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częściej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niż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co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tygodni.</w:t>
            </w:r>
          </w:p>
          <w:p w14:paraId="2C7A8E31" w14:textId="77777777" w:rsidR="00110F60" w:rsidRPr="003452E1" w:rsidRDefault="00110F60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8F9E5A3" w14:textId="1EB28BEB" w:rsidR="006B0584" w:rsidRPr="003452E1" w:rsidRDefault="006657F4" w:rsidP="003452E1">
            <w:pPr>
              <w:pStyle w:val="Default"/>
              <w:numPr>
                <w:ilvl w:val="0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Kryteria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wyłączenia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sz w:val="20"/>
                <w:szCs w:val="20"/>
              </w:rPr>
              <w:t>programu</w:t>
            </w:r>
          </w:p>
          <w:p w14:paraId="68133F47" w14:textId="74AC916A" w:rsidR="00855D96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rak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odpowiedzi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dwóch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kolejnych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sesjach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podania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C206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leku</w:t>
            </w:r>
          </w:p>
          <w:p w14:paraId="2F71E29F" w14:textId="2020D863" w:rsidR="005C2066" w:rsidRPr="003452E1" w:rsidRDefault="005C4D4A" w:rsidP="003452E1">
            <w:pPr>
              <w:pStyle w:val="Default"/>
              <w:spacing w:after="60" w:line="276" w:lineRule="auto"/>
              <w:ind w:left="45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Odpowiedź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definiowana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jest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jako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spadek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napięcia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mięśniowego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≥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punkt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zmodyfikowanej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skali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Ashwortha</w:t>
            </w:r>
            <w:proofErr w:type="spellEnd"/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–MAS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względem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wartości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wyjściowych</w:t>
            </w:r>
            <w:r w:rsidR="00855D9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14:paraId="480A086F" w14:textId="1AB9000A" w:rsidR="00267961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trwalony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przykurcz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kończyny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górnej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21E35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22AA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dolnej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zanik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mięśni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porażonej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53989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kończynie;</w:t>
            </w:r>
          </w:p>
          <w:p w14:paraId="56ED017D" w14:textId="542C8962" w:rsidR="00F6012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wystąpienie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chorób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stanów,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które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opinii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lekarza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prowadzącego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uniemożliwiają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dalsze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prowadzenie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leczenia;</w:t>
            </w:r>
          </w:p>
          <w:p w14:paraId="5D5EF326" w14:textId="577B82C9" w:rsidR="00F6012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wystąpienie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działań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niepożądanych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uniemożliwiających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kontynuację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zgodnie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decyzją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lekarza;</w:t>
            </w:r>
          </w:p>
          <w:p w14:paraId="1EA2D15F" w14:textId="34144412" w:rsidR="00F6012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wystąpienie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nadwrażliwości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lek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substancję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pomocniczą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uniemożliwiające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kontynuację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leczenia;</w:t>
            </w:r>
          </w:p>
          <w:p w14:paraId="6746F7CF" w14:textId="71B244EA" w:rsidR="00F6012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wystąpienie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zagrażającej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życiu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albo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nieakceptowalnej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toksyczności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pomimo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zastosowania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adekwatnego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postępowania;</w:t>
            </w:r>
          </w:p>
          <w:p w14:paraId="70B6240C" w14:textId="19E150C7" w:rsidR="00F6012F" w:rsidRPr="003452E1" w:rsidRDefault="00F6012F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współpracy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nieprzestrzeganie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zaleceń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lekarskich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ze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strony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świadczeniobiorcy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okresowych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badań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kontrolnych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oceniających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skuteczność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bezpieczeństwo</w:t>
            </w:r>
            <w:r w:rsidR="003452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sz w:val="20"/>
                <w:szCs w:val="20"/>
              </w:rPr>
              <w:t>leczenia</w:t>
            </w:r>
            <w:r w:rsidR="00855D96" w:rsidRPr="003452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7C6A8F" w14:textId="6DCA445B" w:rsidR="00110F60" w:rsidRPr="003452E1" w:rsidRDefault="00EA7290" w:rsidP="003452E1">
            <w:pPr>
              <w:pStyle w:val="Default"/>
              <w:numPr>
                <w:ilvl w:val="3"/>
                <w:numId w:val="25"/>
              </w:numPr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ciąża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karmienie</w:t>
            </w:r>
            <w:r w:rsidR="003452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piersią</w:t>
            </w:r>
            <w:r w:rsidR="00855D96" w:rsidRPr="003452E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F6B1B06" w14:textId="650A2C8B" w:rsidR="00855D96" w:rsidRPr="003452E1" w:rsidRDefault="00855D96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5" w:type="pct"/>
          </w:tcPr>
          <w:p w14:paraId="70092743" w14:textId="7BEB2D9A" w:rsidR="005204C6" w:rsidRPr="003452E1" w:rsidRDefault="00B935E1" w:rsidP="003452E1">
            <w:pPr>
              <w:pStyle w:val="Default"/>
              <w:numPr>
                <w:ilvl w:val="0"/>
                <w:numId w:val="26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Dawkowanie</w:t>
            </w:r>
            <w:r w:rsidR="003452E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7493A34" w14:textId="220D4B28" w:rsidR="00F6012F" w:rsidRPr="003452E1" w:rsidRDefault="00F6012F" w:rsidP="003452E1">
            <w:pPr>
              <w:widowControl/>
              <w:spacing w:after="60" w:line="276" w:lineRule="auto"/>
              <w:jc w:val="both"/>
              <w:rPr>
                <w:rFonts w:ascii="Times New Roman" w:hAnsi="Times New Roman"/>
                <w:bCs/>
              </w:rPr>
            </w:pPr>
            <w:r w:rsidRPr="003452E1">
              <w:rPr>
                <w:rFonts w:ascii="Times New Roman" w:hAnsi="Times New Roman"/>
                <w:bCs/>
              </w:rPr>
              <w:t>Sposób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podawania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oraz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ewentualne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czasowe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wstrzymania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leczenia,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prowadzone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zgodnie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z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aktualn</w:t>
            </w:r>
            <w:r w:rsidR="00D868B4" w:rsidRPr="003452E1">
              <w:rPr>
                <w:rFonts w:ascii="Times New Roman" w:hAnsi="Times New Roman"/>
                <w:bCs/>
              </w:rPr>
              <w:t>ymi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Charakterystykami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Produktu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Leczniczego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(ChPL)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lub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przyjętą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praktyką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kliniczną.</w:t>
            </w:r>
          </w:p>
          <w:p w14:paraId="5D3612D2" w14:textId="3740068C" w:rsidR="00C8561E" w:rsidRPr="003452E1" w:rsidRDefault="00C8561E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Maksymalne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dawki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sesję:</w:t>
            </w:r>
          </w:p>
          <w:p w14:paraId="16DC3240" w14:textId="594C8344" w:rsidR="00C8561E" w:rsidRPr="003452E1" w:rsidRDefault="00C8561E" w:rsidP="003452E1">
            <w:pPr>
              <w:pStyle w:val="Default"/>
              <w:numPr>
                <w:ilvl w:val="3"/>
                <w:numId w:val="2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Botox</w:t>
            </w:r>
            <w:proofErr w:type="spellEnd"/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(tylko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j.,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7625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B7625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855D96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3D9CBEF" w14:textId="17966155" w:rsidR="00C8561E" w:rsidRPr="003452E1" w:rsidRDefault="00C8561E" w:rsidP="003452E1">
            <w:pPr>
              <w:pStyle w:val="Default"/>
              <w:numPr>
                <w:ilvl w:val="3"/>
                <w:numId w:val="2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Dysport</w:t>
            </w:r>
            <w:proofErr w:type="spellEnd"/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(tylko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j.,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dolna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j.)</w:t>
            </w:r>
            <w:r w:rsidR="00855D96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40E161D" w14:textId="3714B138" w:rsidR="007F271F" w:rsidRPr="003452E1" w:rsidRDefault="00C8561E" w:rsidP="003452E1">
            <w:pPr>
              <w:pStyle w:val="Default"/>
              <w:numPr>
                <w:ilvl w:val="3"/>
                <w:numId w:val="26"/>
              </w:numPr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Xeomin</w:t>
            </w:r>
            <w:proofErr w:type="spellEnd"/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tylko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górna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6012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j.</w:t>
            </w:r>
          </w:p>
          <w:p w14:paraId="49EA4FC5" w14:textId="62AE068F" w:rsidR="007F271F" w:rsidRPr="003452E1" w:rsidRDefault="007F271F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2F8A2C" w14:textId="12C0D51D" w:rsidR="000E0C36" w:rsidRPr="003452E1" w:rsidRDefault="007F271F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Częstość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podawania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leku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zależy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stanu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klinicznego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pacjenta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maksymalnie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podania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preparatu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każdą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leczoną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kończynę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każdym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roku,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częściej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niż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0EFF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tygodni.</w:t>
            </w:r>
          </w:p>
          <w:p w14:paraId="1C7F6565" w14:textId="1A066FB5" w:rsidR="005204C6" w:rsidRPr="003452E1" w:rsidRDefault="005204C6" w:rsidP="003452E1">
            <w:pPr>
              <w:pStyle w:val="Default"/>
              <w:spacing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Zalecane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poda</w:t>
            </w:r>
            <w:r w:rsidR="00A440E4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kontrolą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elektromiografii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(EMG),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stymulacji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elektrycznej</w:t>
            </w:r>
            <w:r w:rsid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mięśnia</w:t>
            </w:r>
            <w:r w:rsidR="003452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r w:rsidR="003452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ultrasonografii</w:t>
            </w:r>
            <w:r w:rsidR="003452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(USG)</w:t>
            </w:r>
            <w:r w:rsidR="00F25F7B" w:rsidRPr="003452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23" w:type="pct"/>
          </w:tcPr>
          <w:p w14:paraId="10A9B1A5" w14:textId="655A6F2D" w:rsidR="00584D04" w:rsidRPr="003452E1" w:rsidRDefault="00584D04" w:rsidP="003452E1">
            <w:pPr>
              <w:pStyle w:val="Default"/>
              <w:numPr>
                <w:ilvl w:val="0"/>
                <w:numId w:val="27"/>
              </w:numPr>
              <w:spacing w:before="120" w:after="6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Badania</w:t>
            </w:r>
            <w:r w:rsidR="00345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przy</w:t>
            </w:r>
            <w:r w:rsidR="00345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52E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kwalifikacji</w:t>
            </w:r>
          </w:p>
          <w:p w14:paraId="66C4951B" w14:textId="044E8FC0" w:rsidR="00DD55D0" w:rsidRPr="003452E1" w:rsidRDefault="00BE2524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b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adanie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neurologiczne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:</w:t>
            </w:r>
          </w:p>
          <w:p w14:paraId="1AE13B00" w14:textId="2808A497" w:rsidR="00DD55D0" w:rsidRPr="003452E1" w:rsidRDefault="00584D04" w:rsidP="003452E1">
            <w:pPr>
              <w:pStyle w:val="Akapitzlist"/>
              <w:numPr>
                <w:ilvl w:val="4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ocena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spastyczności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06FE2" w:rsidRPr="003452E1">
              <w:rPr>
                <w:rFonts w:ascii="Times New Roman" w:hAnsi="Times New Roman"/>
                <w:bCs/>
                <w:color w:val="000000" w:themeColor="text1"/>
              </w:rPr>
              <w:t>zmodyfikowanej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DD55D0" w:rsidRPr="003452E1">
              <w:rPr>
                <w:rFonts w:ascii="Times New Roman" w:hAnsi="Times New Roman"/>
                <w:bCs/>
              </w:rPr>
              <w:t>Ashwortha</w:t>
            </w:r>
            <w:proofErr w:type="spellEnd"/>
            <w:r w:rsidR="003452E1">
              <w:rPr>
                <w:rFonts w:ascii="Times New Roman" w:hAnsi="Times New Roman"/>
                <w:b/>
              </w:rPr>
              <w:t xml:space="preserve"> </w:t>
            </w:r>
            <w:r w:rsidR="00DD55D0" w:rsidRPr="003452E1">
              <w:rPr>
                <w:rFonts w:ascii="Times New Roman" w:hAnsi="Times New Roman"/>
                <w:b/>
              </w:rPr>
              <w:t>–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</w:rPr>
              <w:t>MAS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,</w:t>
            </w:r>
          </w:p>
          <w:p w14:paraId="636ACC4B" w14:textId="0E946F6E" w:rsidR="00DD55D0" w:rsidRPr="003452E1" w:rsidRDefault="00584D04" w:rsidP="003452E1">
            <w:pPr>
              <w:pStyle w:val="Akapitzlist"/>
              <w:numPr>
                <w:ilvl w:val="4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test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oceniający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stopień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osłabienia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siły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mięśni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kończyny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</w:rPr>
              <w:t>górnej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</w:rPr>
              <w:t>lub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dolnej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Medical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Research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Council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(MRC)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(0</w:t>
            </w:r>
            <w:r w:rsidR="00A265CB" w:rsidRPr="003452E1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poszczególnych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grupach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mięśniowych),</w:t>
            </w:r>
          </w:p>
          <w:p w14:paraId="772069A5" w14:textId="2EFDE721" w:rsidR="00430BB7" w:rsidRPr="003452E1" w:rsidRDefault="00A36362" w:rsidP="003452E1">
            <w:pPr>
              <w:pStyle w:val="Akapitzlist"/>
              <w:numPr>
                <w:ilvl w:val="4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ocena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stanu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ruchowego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opisow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ocen</w:t>
            </w:r>
            <w:r w:rsidR="00753A28" w:rsidRPr="003452E1"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czynności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możliwych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wykonania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kończyną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ze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D55D0" w:rsidRPr="003452E1">
              <w:rPr>
                <w:rFonts w:ascii="Times New Roman" w:hAnsi="Times New Roman"/>
                <w:bCs/>
                <w:color w:val="000000" w:themeColor="text1"/>
              </w:rPr>
              <w:t>spastycznością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;</w:t>
            </w:r>
          </w:p>
          <w:p w14:paraId="49EB7EB6" w14:textId="14368D70" w:rsidR="00DD55D0" w:rsidRPr="003452E1" w:rsidRDefault="00BE2524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pacjentów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przyjmujących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leki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antykoagulacyjne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A265CB" w:rsidRPr="003452E1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acenokumarol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warfarynę</w:t>
            </w:r>
            <w:proofErr w:type="spellEnd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wykonuje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badanie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INR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(dopuszczalna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wartość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INR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FB47FE" w:rsidRPr="003452E1">
              <w:rPr>
                <w:rFonts w:ascii="Times New Roman" w:hAnsi="Times New Roman"/>
                <w:bCs/>
                <w:color w:val="000000" w:themeColor="text1"/>
              </w:rPr>
              <w:t>≤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2,5)</w:t>
            </w:r>
            <w:r w:rsidR="00110F60" w:rsidRPr="003452E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761FD573" w14:textId="77777777" w:rsidR="00110F60" w:rsidRPr="003452E1" w:rsidRDefault="00110F60" w:rsidP="003452E1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F2740AD" w14:textId="2F15E74D" w:rsidR="00584D04" w:rsidRPr="003452E1" w:rsidRDefault="00584D04" w:rsidP="003452E1">
            <w:pPr>
              <w:pStyle w:val="Akapitzlist"/>
              <w:numPr>
                <w:ilvl w:val="0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452E1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/>
                <w:color w:val="000000" w:themeColor="text1"/>
              </w:rPr>
              <w:t>leczenia</w:t>
            </w:r>
          </w:p>
          <w:p w14:paraId="60CC317C" w14:textId="75FBD475" w:rsidR="00AD5578" w:rsidRPr="003452E1" w:rsidRDefault="00AD5578" w:rsidP="003452E1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</w:rPr>
              <w:t>Odpowiedź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na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leczenie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jest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weryfikowana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podczas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wizyt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kontrolnych.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Dwie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pierwsze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wizyty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monitorujące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powinny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zostać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wykonane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4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–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8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tygodni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po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podaniu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pierwszej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i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drugiej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dawki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leku,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a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</w:rPr>
              <w:t>kolejne</w:t>
            </w:r>
            <w:r w:rsidR="003452E1">
              <w:rPr>
                <w:rFonts w:ascii="Times New Roman" w:hAnsi="Times New Roman"/>
                <w:bCs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przed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podaniem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pacjentowi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kolejnej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dawki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leku.</w:t>
            </w:r>
          </w:p>
          <w:p w14:paraId="59FF08B9" w14:textId="0695DFB9" w:rsidR="00EE3221" w:rsidRPr="003452E1" w:rsidRDefault="00584D04" w:rsidP="003452E1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Podczas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wizyt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kontrolnych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wykonuje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się:</w:t>
            </w:r>
          </w:p>
          <w:p w14:paraId="6ED58CC6" w14:textId="384F7937" w:rsidR="00882508" w:rsidRPr="003452E1" w:rsidRDefault="00855D96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cenę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odpowiedzi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zastosowane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leczenie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mierzoną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 w:rsidRPr="003452E1">
              <w:rPr>
                <w:rFonts w:ascii="Times New Roman" w:hAnsi="Times New Roman"/>
                <w:bCs/>
                <w:color w:val="000000" w:themeColor="text1"/>
              </w:rPr>
              <w:t>zmodyfikowanej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BD574A" w:rsidRPr="003452E1">
              <w:rPr>
                <w:rFonts w:ascii="Times New Roman" w:hAnsi="Times New Roman"/>
                <w:bCs/>
                <w:color w:val="000000" w:themeColor="text1"/>
              </w:rPr>
              <w:t>Ashwortha</w:t>
            </w:r>
            <w:proofErr w:type="spellEnd"/>
            <w:r w:rsidR="00A265CB" w:rsidRPr="003452E1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MAS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(poprawa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 w:rsidRPr="003452E1">
              <w:rPr>
                <w:rFonts w:ascii="Times New Roman" w:hAnsi="Times New Roman"/>
                <w:bCs/>
                <w:color w:val="000000" w:themeColor="text1"/>
              </w:rPr>
              <w:lastRenderedPageBreak/>
              <w:t>minimum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BD574A" w:rsidRPr="003452E1">
              <w:rPr>
                <w:rFonts w:ascii="Times New Roman" w:hAnsi="Times New Roman"/>
                <w:bCs/>
                <w:color w:val="000000" w:themeColor="text1"/>
              </w:rPr>
              <w:t>1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punkt),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która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stanowi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kryterium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podania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kolejnych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dawek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leku;</w:t>
            </w:r>
          </w:p>
          <w:p w14:paraId="13161E83" w14:textId="1C101F35" w:rsidR="00882508" w:rsidRPr="003452E1" w:rsidRDefault="00855D96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cenę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efektu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podania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leku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lekarza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 w:rsidRPr="003452E1">
              <w:rPr>
                <w:rFonts w:ascii="Times New Roman" w:hAnsi="Times New Roman"/>
                <w:bCs/>
                <w:color w:val="000000" w:themeColor="text1"/>
              </w:rPr>
              <w:t>przeprowadzan</w:t>
            </w:r>
            <w:r w:rsidR="00D868B4" w:rsidRPr="003452E1"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za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pomocą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CGI–IS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Clinical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Global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Impr</w:t>
            </w:r>
            <w:r w:rsidR="003D3C1A" w:rsidRPr="003452E1">
              <w:rPr>
                <w:rFonts w:ascii="Times New Roman" w:hAnsi="Times New Roman"/>
                <w:bCs/>
                <w:color w:val="000000" w:themeColor="text1"/>
              </w:rPr>
              <w:t>e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ssion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Improvement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Scale</w:t>
            </w:r>
            <w:proofErr w:type="spellEnd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);</w:t>
            </w:r>
          </w:p>
          <w:p w14:paraId="09C118FA" w14:textId="57727AC8" w:rsidR="00EA7290" w:rsidRPr="003452E1" w:rsidRDefault="00855D96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t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est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oceniający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stopień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osłabienia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siły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mięśni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kończyny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górnej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dolnej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Medical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Research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Council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(MRC)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(0</w:t>
            </w:r>
            <w:r w:rsidR="00A265CB" w:rsidRPr="003452E1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5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poszczególnych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grupach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mięśniowych);</w:t>
            </w:r>
          </w:p>
          <w:p w14:paraId="6EC44924" w14:textId="29662302" w:rsidR="00982FF0" w:rsidRPr="003452E1" w:rsidRDefault="00855D96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831AAA" w:rsidRPr="003452E1">
              <w:rPr>
                <w:rFonts w:ascii="Times New Roman" w:hAnsi="Times New Roman"/>
                <w:bCs/>
                <w:color w:val="000000" w:themeColor="text1"/>
              </w:rPr>
              <w:t>cen</w:t>
            </w:r>
            <w:r w:rsidR="00110F60" w:rsidRPr="003452E1">
              <w:rPr>
                <w:rFonts w:ascii="Times New Roman" w:hAnsi="Times New Roman"/>
                <w:bCs/>
                <w:color w:val="000000" w:themeColor="text1"/>
              </w:rPr>
              <w:t>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31AAA" w:rsidRPr="003452E1">
              <w:rPr>
                <w:rFonts w:ascii="Times New Roman" w:hAnsi="Times New Roman"/>
                <w:bCs/>
                <w:color w:val="000000" w:themeColor="text1"/>
              </w:rPr>
              <w:t>stanu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31AAA" w:rsidRPr="003452E1">
              <w:rPr>
                <w:rFonts w:ascii="Times New Roman" w:hAnsi="Times New Roman"/>
                <w:bCs/>
                <w:color w:val="000000" w:themeColor="text1"/>
              </w:rPr>
              <w:t>ruchowego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31AAA" w:rsidRPr="003452E1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31AAA" w:rsidRPr="003452E1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pisową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ocen</w:t>
            </w:r>
            <w:r w:rsidR="00831AAA" w:rsidRPr="003452E1">
              <w:rPr>
                <w:rFonts w:ascii="Times New Roman" w:hAnsi="Times New Roman"/>
                <w:bCs/>
                <w:color w:val="000000" w:themeColor="text1"/>
              </w:rPr>
              <w:t>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czynności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możliwych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wykonania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kończyną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ze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882508" w:rsidRPr="003452E1">
              <w:rPr>
                <w:rFonts w:ascii="Times New Roman" w:hAnsi="Times New Roman"/>
                <w:bCs/>
                <w:color w:val="000000" w:themeColor="text1"/>
              </w:rPr>
              <w:t>spastycznością</w:t>
            </w:r>
            <w:r w:rsidR="00110F60" w:rsidRPr="003452E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2F99FCBE" w14:textId="239328DD" w:rsidR="00882508" w:rsidRPr="003452E1" w:rsidRDefault="00225A7F" w:rsidP="003452E1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dokumentacji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medycznej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zamieszcza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informację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rodzaju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formie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prowadzonej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584D04" w:rsidRPr="003452E1">
              <w:rPr>
                <w:rFonts w:ascii="Times New Roman" w:hAnsi="Times New Roman"/>
                <w:bCs/>
                <w:color w:val="000000" w:themeColor="text1"/>
              </w:rPr>
              <w:t>rehabilitacji</w:t>
            </w:r>
            <w:r w:rsidR="003D3C1A" w:rsidRPr="003452E1">
              <w:rPr>
                <w:rFonts w:ascii="Times New Roman" w:hAnsi="Times New Roman"/>
                <w:bCs/>
                <w:color w:val="000000" w:themeColor="text1"/>
              </w:rPr>
              <w:t>,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 w:rsidRPr="003452E1">
              <w:rPr>
                <w:rFonts w:ascii="Times New Roman" w:hAnsi="Times New Roman"/>
                <w:bCs/>
                <w:color w:val="000000" w:themeColor="text1"/>
              </w:rPr>
              <w:t>jeśli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3D3C1A" w:rsidRPr="003452E1">
              <w:rPr>
                <w:rFonts w:ascii="Times New Roman" w:hAnsi="Times New Roman"/>
                <w:bCs/>
                <w:color w:val="000000" w:themeColor="text1"/>
              </w:rPr>
              <w:t>dotyczy.</w:t>
            </w:r>
          </w:p>
          <w:p w14:paraId="74DFE5FC" w14:textId="77777777" w:rsidR="00110F60" w:rsidRPr="003452E1" w:rsidRDefault="00110F60" w:rsidP="003452E1">
            <w:pPr>
              <w:spacing w:after="60" w:line="276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2F1A4DBE" w14:textId="4AF3C9E2" w:rsidR="00191503" w:rsidRPr="003452E1" w:rsidRDefault="00584D04" w:rsidP="003452E1">
            <w:pPr>
              <w:pStyle w:val="Akapitzlist"/>
              <w:numPr>
                <w:ilvl w:val="0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452E1">
              <w:rPr>
                <w:rFonts w:ascii="Times New Roman" w:hAnsi="Times New Roman"/>
                <w:b/>
                <w:color w:val="000000" w:themeColor="text1"/>
              </w:rPr>
              <w:t>Monitorowanie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/>
                <w:color w:val="000000" w:themeColor="text1"/>
              </w:rPr>
              <w:t>programu</w:t>
            </w:r>
            <w:r w:rsidR="003452E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662F0B8C" w14:textId="5079BC04" w:rsidR="00191503" w:rsidRPr="003452E1" w:rsidRDefault="00191503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gromadzenie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dokumentacji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medycznej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danych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dotyczących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monitorowania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leczenia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każdorazowe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ich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przedstawianie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żądanie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kontrolerów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Narodowego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Funduszu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Zdrowia;</w:t>
            </w:r>
          </w:p>
          <w:p w14:paraId="377934A5" w14:textId="745381C5" w:rsidR="002806F1" w:rsidRPr="003452E1" w:rsidRDefault="00191503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uzupełnienie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danych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zawartych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elektronicznym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systemie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monitorowania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programów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lekowych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dostępnym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pomocą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aplikacji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internetowej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udostępnionej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przez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NFZ,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w</w:t>
            </w:r>
            <w:r w:rsidR="003452E1">
              <w:rPr>
                <w:rFonts w:ascii="Times New Roman" w:hAnsi="Times New Roman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tym</w:t>
            </w:r>
            <w:r w:rsidR="003452E1">
              <w:rPr>
                <w:rFonts w:ascii="Times New Roman" w:hAnsi="Times New Roman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również</w:t>
            </w:r>
            <w:r w:rsidR="003452E1">
              <w:rPr>
                <w:rFonts w:ascii="Times New Roman" w:hAnsi="Times New Roman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parametrów</w:t>
            </w:r>
            <w:r w:rsidR="003452E1">
              <w:rPr>
                <w:rFonts w:ascii="Times New Roman" w:hAnsi="Times New Roman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dotyczących</w:t>
            </w:r>
            <w:r w:rsidR="003452E1">
              <w:rPr>
                <w:rFonts w:ascii="Times New Roman" w:hAnsi="Times New Roman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skuteczności</w:t>
            </w:r>
            <w:r w:rsidR="003452E1">
              <w:rPr>
                <w:rFonts w:ascii="Times New Roman" w:hAnsi="Times New Roman"/>
              </w:rPr>
              <w:t xml:space="preserve"> </w:t>
            </w:r>
            <w:r w:rsidR="002806F1" w:rsidRPr="003452E1">
              <w:rPr>
                <w:rFonts w:ascii="Times New Roman" w:hAnsi="Times New Roman"/>
              </w:rPr>
              <w:t>leczenia:</w:t>
            </w:r>
          </w:p>
          <w:p w14:paraId="7D2EC833" w14:textId="068AFC5A" w:rsidR="002806F1" w:rsidRPr="003452E1" w:rsidRDefault="002806F1" w:rsidP="003452E1">
            <w:pPr>
              <w:pStyle w:val="Akapitzlist"/>
              <w:numPr>
                <w:ilvl w:val="4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</w:rPr>
              <w:t>zmiana</w:t>
            </w:r>
            <w:r w:rsidR="003452E1">
              <w:rPr>
                <w:rFonts w:ascii="Times New Roman" w:hAnsi="Times New Roman"/>
              </w:rPr>
              <w:t xml:space="preserve"> </w:t>
            </w:r>
            <w:r w:rsidRPr="003452E1">
              <w:rPr>
                <w:rFonts w:ascii="Times New Roman" w:hAnsi="Times New Roman"/>
              </w:rPr>
              <w:t>wyniku</w:t>
            </w:r>
            <w:r w:rsidR="003452E1">
              <w:rPr>
                <w:rFonts w:ascii="Times New Roman" w:hAnsi="Times New Roman"/>
              </w:rPr>
              <w:t xml:space="preserve"> </w:t>
            </w:r>
            <w:r w:rsidRPr="003452E1">
              <w:rPr>
                <w:rFonts w:ascii="Times New Roman" w:hAnsi="Times New Roman"/>
              </w:rPr>
              <w:t>w</w:t>
            </w:r>
            <w:r w:rsidR="003452E1">
              <w:rPr>
                <w:rFonts w:ascii="Times New Roman" w:hAnsi="Times New Roman"/>
              </w:rPr>
              <w:t xml:space="preserve"> </w:t>
            </w:r>
            <w:r w:rsidRPr="003452E1">
              <w:rPr>
                <w:rFonts w:ascii="Times New Roman" w:hAnsi="Times New Roman"/>
              </w:rPr>
              <w:t>zmodyfikowanej</w:t>
            </w:r>
            <w:r w:rsidR="003452E1">
              <w:rPr>
                <w:rFonts w:ascii="Times New Roman" w:hAnsi="Times New Roman"/>
              </w:rPr>
              <w:t xml:space="preserve"> </w:t>
            </w:r>
            <w:r w:rsidRPr="003452E1">
              <w:rPr>
                <w:rFonts w:ascii="Times New Roman" w:hAnsi="Times New Roman"/>
              </w:rPr>
              <w:t>skali</w:t>
            </w:r>
            <w:r w:rsidR="003452E1">
              <w:rPr>
                <w:rFonts w:ascii="Times New Roman" w:hAnsi="Times New Roman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</w:rPr>
              <w:t>Ashwortha</w:t>
            </w:r>
            <w:proofErr w:type="spellEnd"/>
            <w:r w:rsidRPr="003452E1">
              <w:rPr>
                <w:rFonts w:ascii="Times New Roman" w:hAnsi="Times New Roman"/>
              </w:rPr>
              <w:t>–MAS,</w:t>
            </w:r>
            <w:r w:rsidR="003452E1">
              <w:rPr>
                <w:rFonts w:ascii="Times New Roman" w:hAnsi="Times New Roman"/>
              </w:rPr>
              <w:t xml:space="preserve"> </w:t>
            </w:r>
          </w:p>
          <w:p w14:paraId="135F21B7" w14:textId="5C942ADB" w:rsidR="00EA7290" w:rsidRPr="003452E1" w:rsidRDefault="00EA7290" w:rsidP="003452E1">
            <w:pPr>
              <w:pStyle w:val="Akapitzlist"/>
              <w:numPr>
                <w:ilvl w:val="4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efekt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podania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leku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lekarza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pacjenta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="00D868B4" w:rsidRPr="003452E1">
              <w:rPr>
                <w:rFonts w:ascii="Times New Roman" w:hAnsi="Times New Roman"/>
                <w:bCs/>
                <w:color w:val="000000" w:themeColor="text1"/>
              </w:rPr>
              <w:t>monitorowany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pomocą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CGI–IS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(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Clinical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Global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Impression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–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Improvement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Scale</w:t>
            </w:r>
            <w:proofErr w:type="spellEnd"/>
            <w:r w:rsidRPr="003452E1">
              <w:rPr>
                <w:rFonts w:ascii="Times New Roman" w:hAnsi="Times New Roman"/>
                <w:bCs/>
                <w:color w:val="000000" w:themeColor="text1"/>
              </w:rPr>
              <w:t>),</w:t>
            </w:r>
          </w:p>
          <w:p w14:paraId="7D2AD196" w14:textId="729BEB03" w:rsidR="00EA7290" w:rsidRPr="003452E1" w:rsidRDefault="00EA7290" w:rsidP="003452E1">
            <w:pPr>
              <w:pStyle w:val="Akapitzlist"/>
              <w:numPr>
                <w:ilvl w:val="4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wynik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testu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oceniającego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stopień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osłabienia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siły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mięśni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kończyny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górnej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dolnej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według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skali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Medical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Research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3452E1">
              <w:rPr>
                <w:rFonts w:ascii="Times New Roman" w:hAnsi="Times New Roman"/>
                <w:bCs/>
                <w:color w:val="000000" w:themeColor="text1"/>
              </w:rPr>
              <w:t>Council</w:t>
            </w:r>
            <w:proofErr w:type="spellEnd"/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(MRC),</w:t>
            </w:r>
          </w:p>
          <w:p w14:paraId="2DF49966" w14:textId="50B9106F" w:rsidR="00191503" w:rsidRPr="003452E1" w:rsidRDefault="00191503" w:rsidP="003452E1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częstotliwością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zgodną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opisem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programu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oraz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na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zakończenie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lastRenderedPageBreak/>
              <w:t>leczenia;</w:t>
            </w:r>
          </w:p>
          <w:p w14:paraId="160EF467" w14:textId="2F5B9EB0" w:rsidR="00191503" w:rsidRPr="003452E1" w:rsidRDefault="00191503" w:rsidP="003452E1">
            <w:pPr>
              <w:pStyle w:val="Akapitzlist"/>
              <w:numPr>
                <w:ilvl w:val="3"/>
                <w:numId w:val="2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3452E1">
              <w:rPr>
                <w:rFonts w:ascii="Times New Roman" w:hAnsi="Times New Roman"/>
                <w:bCs/>
                <w:color w:val="000000" w:themeColor="text1"/>
              </w:rPr>
              <w:t>przekazywanie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informacji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sprawozdawczo-rozliczeniowych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NFZ: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informacje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przekazuje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się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do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NFZ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formie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papierowej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lub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formie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elektronicznej,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zgodnie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wymaganiami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opublikowanymi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przez</w:t>
            </w:r>
            <w:r w:rsidR="003452E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3452E1">
              <w:rPr>
                <w:rFonts w:ascii="Times New Roman" w:hAnsi="Times New Roman"/>
                <w:bCs/>
                <w:color w:val="000000" w:themeColor="text1"/>
              </w:rPr>
              <w:t>NFZ</w:t>
            </w:r>
          </w:p>
          <w:p w14:paraId="58A032D0" w14:textId="77777777" w:rsidR="00D50D2A" w:rsidRPr="003452E1" w:rsidRDefault="00D50D2A" w:rsidP="003452E1">
            <w:pPr>
              <w:spacing w:after="60" w:line="276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2DFED7C5" w14:textId="77777777" w:rsidR="00B22192" w:rsidRPr="00E87A2A" w:rsidRDefault="00B22192" w:rsidP="00E87A2A">
      <w:pPr>
        <w:spacing w:before="120" w:after="120"/>
        <w:jc w:val="both"/>
        <w:rPr>
          <w:rFonts w:ascii="Times New Roman" w:hAnsi="Times New Roman"/>
          <w:color w:val="000000" w:themeColor="text1"/>
        </w:rPr>
      </w:pPr>
    </w:p>
    <w:sectPr w:rsidR="00B22192" w:rsidRPr="00E87A2A" w:rsidSect="000479E7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KBKD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0912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" w15:restartNumberingAfterBreak="0">
    <w:nsid w:val="0E2723FF"/>
    <w:multiLevelType w:val="multilevel"/>
    <w:tmpl w:val="1B7E054A"/>
    <w:lvl w:ilvl="0">
      <w:start w:val="1"/>
      <w:numFmt w:val="lowerLetter"/>
      <w:suff w:val="space"/>
      <w:lvlText w:val="%1)"/>
      <w:lvlJc w:val="left"/>
      <w:pPr>
        <w:ind w:left="227" w:hanging="22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16660288"/>
    <w:multiLevelType w:val="multilevel"/>
    <w:tmpl w:val="F5A0946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22276E10"/>
    <w:multiLevelType w:val="hybridMultilevel"/>
    <w:tmpl w:val="05586A72"/>
    <w:lvl w:ilvl="0" w:tplc="FCCCA3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9F35E9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5" w15:restartNumberingAfterBreak="0">
    <w:nsid w:val="2BDA7796"/>
    <w:multiLevelType w:val="multilevel"/>
    <w:tmpl w:val="F5A0946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2DA010CA"/>
    <w:multiLevelType w:val="multilevel"/>
    <w:tmpl w:val="8A62724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36CD0D30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38C3430C"/>
    <w:multiLevelType w:val="hybridMultilevel"/>
    <w:tmpl w:val="2AE85A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4674C"/>
    <w:multiLevelType w:val="multilevel"/>
    <w:tmpl w:val="DFA8E792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3F184524"/>
    <w:multiLevelType w:val="hybridMultilevel"/>
    <w:tmpl w:val="3CE483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F22B28"/>
    <w:multiLevelType w:val="hybridMultilevel"/>
    <w:tmpl w:val="E7949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8805DA"/>
    <w:multiLevelType w:val="hybridMultilevel"/>
    <w:tmpl w:val="6BD665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7B122F"/>
    <w:multiLevelType w:val="hybridMultilevel"/>
    <w:tmpl w:val="05586A72"/>
    <w:lvl w:ilvl="0" w:tplc="FCCCA32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B276FB"/>
    <w:multiLevelType w:val="hybridMultilevel"/>
    <w:tmpl w:val="86F2712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1E4332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6" w15:restartNumberingAfterBreak="0">
    <w:nsid w:val="5CBF4D33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7" w15:restartNumberingAfterBreak="0">
    <w:nsid w:val="5F5754CB"/>
    <w:multiLevelType w:val="hybridMultilevel"/>
    <w:tmpl w:val="658C3C7A"/>
    <w:lvl w:ilvl="0" w:tplc="ED626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C1755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9" w15:restartNumberingAfterBreak="0">
    <w:nsid w:val="65C0446C"/>
    <w:multiLevelType w:val="hybridMultilevel"/>
    <w:tmpl w:val="5B7AC4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E074B5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1" w15:restartNumberingAfterBreak="0">
    <w:nsid w:val="68600AB5"/>
    <w:multiLevelType w:val="multilevel"/>
    <w:tmpl w:val="29A2741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2" w15:restartNumberingAfterBreak="0">
    <w:nsid w:val="69AC43E7"/>
    <w:multiLevelType w:val="hybridMultilevel"/>
    <w:tmpl w:val="C80E757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755E51"/>
    <w:multiLevelType w:val="multilevel"/>
    <w:tmpl w:val="E294E1B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  <w:i w:val="0"/>
        <w:iCs w:val="0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b w:val="0"/>
        <w:b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24" w15:restartNumberingAfterBreak="0">
    <w:nsid w:val="6F1251FE"/>
    <w:multiLevelType w:val="hybridMultilevel"/>
    <w:tmpl w:val="4EDE19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E3910"/>
    <w:multiLevelType w:val="hybridMultilevel"/>
    <w:tmpl w:val="BACE1A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097AAA"/>
    <w:multiLevelType w:val="multilevel"/>
    <w:tmpl w:val="3D80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7194606">
    <w:abstractNumId w:val="13"/>
  </w:num>
  <w:num w:numId="2" w16cid:durableId="806629660">
    <w:abstractNumId w:val="10"/>
  </w:num>
  <w:num w:numId="3" w16cid:durableId="501701740">
    <w:abstractNumId w:val="11"/>
  </w:num>
  <w:num w:numId="4" w16cid:durableId="1812938147">
    <w:abstractNumId w:val="19"/>
  </w:num>
  <w:num w:numId="5" w16cid:durableId="1222523578">
    <w:abstractNumId w:val="17"/>
  </w:num>
  <w:num w:numId="6" w16cid:durableId="1691492712">
    <w:abstractNumId w:val="22"/>
  </w:num>
  <w:num w:numId="7" w16cid:durableId="2015914383">
    <w:abstractNumId w:val="3"/>
  </w:num>
  <w:num w:numId="8" w16cid:durableId="151986754">
    <w:abstractNumId w:val="8"/>
  </w:num>
  <w:num w:numId="9" w16cid:durableId="1804229959">
    <w:abstractNumId w:val="24"/>
  </w:num>
  <w:num w:numId="10" w16cid:durableId="70549203">
    <w:abstractNumId w:val="12"/>
  </w:num>
  <w:num w:numId="11" w16cid:durableId="1422330650">
    <w:abstractNumId w:val="16"/>
  </w:num>
  <w:num w:numId="12" w16cid:durableId="1030186416">
    <w:abstractNumId w:val="7"/>
  </w:num>
  <w:num w:numId="13" w16cid:durableId="279842220">
    <w:abstractNumId w:val="2"/>
  </w:num>
  <w:num w:numId="14" w16cid:durableId="1668483344">
    <w:abstractNumId w:val="25"/>
  </w:num>
  <w:num w:numId="15" w16cid:durableId="586035734">
    <w:abstractNumId w:val="1"/>
  </w:num>
  <w:num w:numId="16" w16cid:durableId="421613338">
    <w:abstractNumId w:val="21"/>
  </w:num>
  <w:num w:numId="17" w16cid:durableId="1289631177">
    <w:abstractNumId w:val="6"/>
  </w:num>
  <w:num w:numId="18" w16cid:durableId="1111317344">
    <w:abstractNumId w:val="9"/>
  </w:num>
  <w:num w:numId="19" w16cid:durableId="71972104">
    <w:abstractNumId w:val="14"/>
  </w:num>
  <w:num w:numId="20" w16cid:durableId="1145776315">
    <w:abstractNumId w:val="4"/>
  </w:num>
  <w:num w:numId="21" w16cid:durableId="176315637">
    <w:abstractNumId w:val="20"/>
  </w:num>
  <w:num w:numId="22" w16cid:durableId="474686985">
    <w:abstractNumId w:val="26"/>
  </w:num>
  <w:num w:numId="23" w16cid:durableId="97454819">
    <w:abstractNumId w:val="5"/>
  </w:num>
  <w:num w:numId="24" w16cid:durableId="182789278">
    <w:abstractNumId w:val="0"/>
  </w:num>
  <w:num w:numId="25" w16cid:durableId="192117875">
    <w:abstractNumId w:val="15"/>
  </w:num>
  <w:num w:numId="26" w16cid:durableId="66802700">
    <w:abstractNumId w:val="23"/>
  </w:num>
  <w:num w:numId="27" w16cid:durableId="1081753981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D2A"/>
    <w:rsid w:val="000024E8"/>
    <w:rsid w:val="00006AA7"/>
    <w:rsid w:val="000219CE"/>
    <w:rsid w:val="00023638"/>
    <w:rsid w:val="00034B96"/>
    <w:rsid w:val="0003586C"/>
    <w:rsid w:val="0004085D"/>
    <w:rsid w:val="00040A6B"/>
    <w:rsid w:val="000479E7"/>
    <w:rsid w:val="00057937"/>
    <w:rsid w:val="000668FB"/>
    <w:rsid w:val="0007622F"/>
    <w:rsid w:val="00095F2D"/>
    <w:rsid w:val="000C0002"/>
    <w:rsid w:val="000C62E6"/>
    <w:rsid w:val="000D177A"/>
    <w:rsid w:val="000D2FFB"/>
    <w:rsid w:val="000E0C36"/>
    <w:rsid w:val="000E2EDA"/>
    <w:rsid w:val="00110F60"/>
    <w:rsid w:val="001130F1"/>
    <w:rsid w:val="00114CEA"/>
    <w:rsid w:val="0013004C"/>
    <w:rsid w:val="0014470D"/>
    <w:rsid w:val="00145CF6"/>
    <w:rsid w:val="001538B7"/>
    <w:rsid w:val="0017498F"/>
    <w:rsid w:val="00191503"/>
    <w:rsid w:val="001935B2"/>
    <w:rsid w:val="001B0B8A"/>
    <w:rsid w:val="001B0B98"/>
    <w:rsid w:val="001B1095"/>
    <w:rsid w:val="001B54A2"/>
    <w:rsid w:val="001E0EAC"/>
    <w:rsid w:val="001E5221"/>
    <w:rsid w:val="001F2477"/>
    <w:rsid w:val="00205607"/>
    <w:rsid w:val="00221F37"/>
    <w:rsid w:val="00225A7F"/>
    <w:rsid w:val="002321F9"/>
    <w:rsid w:val="002405DD"/>
    <w:rsid w:val="00240EDC"/>
    <w:rsid w:val="00242AC4"/>
    <w:rsid w:val="002435AB"/>
    <w:rsid w:val="00243901"/>
    <w:rsid w:val="00252F48"/>
    <w:rsid w:val="0025768E"/>
    <w:rsid w:val="0026413D"/>
    <w:rsid w:val="00266807"/>
    <w:rsid w:val="002675A9"/>
    <w:rsid w:val="00267961"/>
    <w:rsid w:val="002806F1"/>
    <w:rsid w:val="00285CC3"/>
    <w:rsid w:val="002937F0"/>
    <w:rsid w:val="002A7587"/>
    <w:rsid w:val="002B65C4"/>
    <w:rsid w:val="002C3CBE"/>
    <w:rsid w:val="002D0654"/>
    <w:rsid w:val="002E4F71"/>
    <w:rsid w:val="002F64C1"/>
    <w:rsid w:val="00300497"/>
    <w:rsid w:val="00302B70"/>
    <w:rsid w:val="0032242F"/>
    <w:rsid w:val="00323699"/>
    <w:rsid w:val="003452E1"/>
    <w:rsid w:val="00365BCD"/>
    <w:rsid w:val="00366590"/>
    <w:rsid w:val="00372F52"/>
    <w:rsid w:val="0039290F"/>
    <w:rsid w:val="003D23E9"/>
    <w:rsid w:val="003D2D20"/>
    <w:rsid w:val="003D3C1A"/>
    <w:rsid w:val="003F2B4E"/>
    <w:rsid w:val="00430BB7"/>
    <w:rsid w:val="00451B8A"/>
    <w:rsid w:val="00481453"/>
    <w:rsid w:val="00482394"/>
    <w:rsid w:val="00487E46"/>
    <w:rsid w:val="004A4185"/>
    <w:rsid w:val="00506FE2"/>
    <w:rsid w:val="005204C6"/>
    <w:rsid w:val="00522AA6"/>
    <w:rsid w:val="00537910"/>
    <w:rsid w:val="005440F1"/>
    <w:rsid w:val="00550874"/>
    <w:rsid w:val="00561158"/>
    <w:rsid w:val="00562140"/>
    <w:rsid w:val="005622BD"/>
    <w:rsid w:val="00565222"/>
    <w:rsid w:val="005736D8"/>
    <w:rsid w:val="00584D04"/>
    <w:rsid w:val="005852A4"/>
    <w:rsid w:val="00596B35"/>
    <w:rsid w:val="005C2066"/>
    <w:rsid w:val="005C4D4A"/>
    <w:rsid w:val="005C5429"/>
    <w:rsid w:val="005D5245"/>
    <w:rsid w:val="005E276C"/>
    <w:rsid w:val="005F17CC"/>
    <w:rsid w:val="005F5A8C"/>
    <w:rsid w:val="00620F09"/>
    <w:rsid w:val="00634EF5"/>
    <w:rsid w:val="00651862"/>
    <w:rsid w:val="00657CCA"/>
    <w:rsid w:val="006657F4"/>
    <w:rsid w:val="00676ECA"/>
    <w:rsid w:val="006879D5"/>
    <w:rsid w:val="00692E84"/>
    <w:rsid w:val="006A0EFF"/>
    <w:rsid w:val="006A294F"/>
    <w:rsid w:val="006A7633"/>
    <w:rsid w:val="006B0584"/>
    <w:rsid w:val="006B13F1"/>
    <w:rsid w:val="006B1D25"/>
    <w:rsid w:val="006E7C83"/>
    <w:rsid w:val="006F0183"/>
    <w:rsid w:val="00703957"/>
    <w:rsid w:val="007177F8"/>
    <w:rsid w:val="00753A28"/>
    <w:rsid w:val="00765A53"/>
    <w:rsid w:val="00772EC0"/>
    <w:rsid w:val="00784CFF"/>
    <w:rsid w:val="00790B3E"/>
    <w:rsid w:val="00792FE6"/>
    <w:rsid w:val="007B2AC7"/>
    <w:rsid w:val="007B3C6A"/>
    <w:rsid w:val="007B5B58"/>
    <w:rsid w:val="007C416C"/>
    <w:rsid w:val="007D1FA6"/>
    <w:rsid w:val="007D61EE"/>
    <w:rsid w:val="007E0090"/>
    <w:rsid w:val="007E526E"/>
    <w:rsid w:val="007E6799"/>
    <w:rsid w:val="007F1978"/>
    <w:rsid w:val="007F271F"/>
    <w:rsid w:val="007F2A8E"/>
    <w:rsid w:val="007F433A"/>
    <w:rsid w:val="00804618"/>
    <w:rsid w:val="00810DB0"/>
    <w:rsid w:val="008211CF"/>
    <w:rsid w:val="00821E35"/>
    <w:rsid w:val="0082250B"/>
    <w:rsid w:val="00831AAA"/>
    <w:rsid w:val="008368BD"/>
    <w:rsid w:val="0084365A"/>
    <w:rsid w:val="00855D96"/>
    <w:rsid w:val="00870FC6"/>
    <w:rsid w:val="008719E1"/>
    <w:rsid w:val="00876FB1"/>
    <w:rsid w:val="008772DE"/>
    <w:rsid w:val="00882508"/>
    <w:rsid w:val="00893BD5"/>
    <w:rsid w:val="008962B6"/>
    <w:rsid w:val="008A0F2D"/>
    <w:rsid w:val="008B5C3C"/>
    <w:rsid w:val="008C4C99"/>
    <w:rsid w:val="008C5788"/>
    <w:rsid w:val="008C6B83"/>
    <w:rsid w:val="008D0544"/>
    <w:rsid w:val="008D2F43"/>
    <w:rsid w:val="008E081B"/>
    <w:rsid w:val="008F6EBB"/>
    <w:rsid w:val="0090170D"/>
    <w:rsid w:val="00905ECB"/>
    <w:rsid w:val="00912C90"/>
    <w:rsid w:val="0092439B"/>
    <w:rsid w:val="00925668"/>
    <w:rsid w:val="009537E9"/>
    <w:rsid w:val="00965AAA"/>
    <w:rsid w:val="00973F61"/>
    <w:rsid w:val="009746F5"/>
    <w:rsid w:val="00982FF0"/>
    <w:rsid w:val="009B7625"/>
    <w:rsid w:val="009C015B"/>
    <w:rsid w:val="009C0DFA"/>
    <w:rsid w:val="009D515F"/>
    <w:rsid w:val="009D77F9"/>
    <w:rsid w:val="009E6778"/>
    <w:rsid w:val="009F0886"/>
    <w:rsid w:val="009F17E2"/>
    <w:rsid w:val="009F3955"/>
    <w:rsid w:val="009F59D0"/>
    <w:rsid w:val="009F78F7"/>
    <w:rsid w:val="00A04582"/>
    <w:rsid w:val="00A11F04"/>
    <w:rsid w:val="00A12AF0"/>
    <w:rsid w:val="00A265CB"/>
    <w:rsid w:val="00A300B5"/>
    <w:rsid w:val="00A36362"/>
    <w:rsid w:val="00A440E4"/>
    <w:rsid w:val="00A47311"/>
    <w:rsid w:val="00A629A7"/>
    <w:rsid w:val="00A70D99"/>
    <w:rsid w:val="00A73E7D"/>
    <w:rsid w:val="00A756BE"/>
    <w:rsid w:val="00A76817"/>
    <w:rsid w:val="00A80535"/>
    <w:rsid w:val="00A86600"/>
    <w:rsid w:val="00A87497"/>
    <w:rsid w:val="00A87888"/>
    <w:rsid w:val="00A941E1"/>
    <w:rsid w:val="00AA2839"/>
    <w:rsid w:val="00AA2CAC"/>
    <w:rsid w:val="00AB4AC6"/>
    <w:rsid w:val="00AD3122"/>
    <w:rsid w:val="00AD5578"/>
    <w:rsid w:val="00AE71A6"/>
    <w:rsid w:val="00B03E8C"/>
    <w:rsid w:val="00B22192"/>
    <w:rsid w:val="00B26B7C"/>
    <w:rsid w:val="00B3082E"/>
    <w:rsid w:val="00B33920"/>
    <w:rsid w:val="00B44D21"/>
    <w:rsid w:val="00B5299B"/>
    <w:rsid w:val="00B53989"/>
    <w:rsid w:val="00B57E35"/>
    <w:rsid w:val="00B64A2B"/>
    <w:rsid w:val="00B665B7"/>
    <w:rsid w:val="00B771C8"/>
    <w:rsid w:val="00B92B5F"/>
    <w:rsid w:val="00B935E1"/>
    <w:rsid w:val="00B96E4B"/>
    <w:rsid w:val="00BA0DE2"/>
    <w:rsid w:val="00BA574B"/>
    <w:rsid w:val="00BB45B1"/>
    <w:rsid w:val="00BC0E63"/>
    <w:rsid w:val="00BD1F44"/>
    <w:rsid w:val="00BD3693"/>
    <w:rsid w:val="00BD574A"/>
    <w:rsid w:val="00BE1460"/>
    <w:rsid w:val="00BE2524"/>
    <w:rsid w:val="00BF24BB"/>
    <w:rsid w:val="00BF2D94"/>
    <w:rsid w:val="00BF4321"/>
    <w:rsid w:val="00C121EA"/>
    <w:rsid w:val="00C177FC"/>
    <w:rsid w:val="00C30870"/>
    <w:rsid w:val="00C56D14"/>
    <w:rsid w:val="00C6073C"/>
    <w:rsid w:val="00C60F3A"/>
    <w:rsid w:val="00C67941"/>
    <w:rsid w:val="00C7700B"/>
    <w:rsid w:val="00C77711"/>
    <w:rsid w:val="00C80E17"/>
    <w:rsid w:val="00C8561E"/>
    <w:rsid w:val="00CA39B7"/>
    <w:rsid w:val="00CA514D"/>
    <w:rsid w:val="00CE79EF"/>
    <w:rsid w:val="00D2386A"/>
    <w:rsid w:val="00D47C22"/>
    <w:rsid w:val="00D50607"/>
    <w:rsid w:val="00D50D2A"/>
    <w:rsid w:val="00D520BD"/>
    <w:rsid w:val="00D535F0"/>
    <w:rsid w:val="00D67A23"/>
    <w:rsid w:val="00D8623D"/>
    <w:rsid w:val="00D86479"/>
    <w:rsid w:val="00D868B4"/>
    <w:rsid w:val="00D93CA4"/>
    <w:rsid w:val="00DA35FD"/>
    <w:rsid w:val="00DA5BA3"/>
    <w:rsid w:val="00DD254D"/>
    <w:rsid w:val="00DD55D0"/>
    <w:rsid w:val="00DE0187"/>
    <w:rsid w:val="00DE296D"/>
    <w:rsid w:val="00DF1E23"/>
    <w:rsid w:val="00E21AB9"/>
    <w:rsid w:val="00E22729"/>
    <w:rsid w:val="00E32C7C"/>
    <w:rsid w:val="00E55E73"/>
    <w:rsid w:val="00E80EB7"/>
    <w:rsid w:val="00E85109"/>
    <w:rsid w:val="00E85E71"/>
    <w:rsid w:val="00E87A2A"/>
    <w:rsid w:val="00E87A60"/>
    <w:rsid w:val="00E90EDE"/>
    <w:rsid w:val="00E94B17"/>
    <w:rsid w:val="00EA7078"/>
    <w:rsid w:val="00EA7290"/>
    <w:rsid w:val="00EA77E9"/>
    <w:rsid w:val="00EC1042"/>
    <w:rsid w:val="00ED7640"/>
    <w:rsid w:val="00EE3221"/>
    <w:rsid w:val="00EF4A9E"/>
    <w:rsid w:val="00EF5431"/>
    <w:rsid w:val="00F25F7B"/>
    <w:rsid w:val="00F50911"/>
    <w:rsid w:val="00F53FC7"/>
    <w:rsid w:val="00F6012F"/>
    <w:rsid w:val="00F65C6C"/>
    <w:rsid w:val="00F77E8E"/>
    <w:rsid w:val="00F909E6"/>
    <w:rsid w:val="00F960ED"/>
    <w:rsid w:val="00FA03E2"/>
    <w:rsid w:val="00FB04ED"/>
    <w:rsid w:val="00FB18BA"/>
    <w:rsid w:val="00FB3891"/>
    <w:rsid w:val="00FB47FE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3D04"/>
  <w15:chartTrackingRefBased/>
  <w15:docId w15:val="{2EC6F899-6BC8-4DB6-A230-2DED3854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50D2A"/>
    <w:pPr>
      <w:widowControl w:val="0"/>
      <w:autoSpaceDE w:val="0"/>
      <w:autoSpaceDN w:val="0"/>
      <w:adjustRightInd w:val="0"/>
      <w:spacing w:after="0" w:line="240" w:lineRule="auto"/>
    </w:pPr>
    <w:rPr>
      <w:rFonts w:ascii="CKBKDC+Arial" w:eastAsia="Times New Roman" w:hAnsi="CKBKDC+Arial" w:cs="CKBKDC+Arial"/>
      <w:color w:val="000000"/>
      <w:sz w:val="24"/>
      <w:szCs w:val="24"/>
      <w:lang w:eastAsia="pl-PL"/>
    </w:rPr>
  </w:style>
  <w:style w:type="paragraph" w:styleId="Akapitzlist">
    <w:name w:val="List Paragraph"/>
    <w:aliases w:val="Styl moj,Dot pt,F5 List Paragraph,List Paragraph1,No Spacing1,List Paragraph Char Char Char,Indicator Text,Colorful List - Accent 11,Numbered Para 1,Bullet 1,Bullet Points,List Paragraph2,MAIN CONTENT,Normal numbered,列出段落,aotm_załączniki"/>
    <w:basedOn w:val="Normalny"/>
    <w:link w:val="AkapitzlistZnak"/>
    <w:uiPriority w:val="34"/>
    <w:qFormat/>
    <w:rsid w:val="00D50D2A"/>
    <w:pPr>
      <w:ind w:left="720"/>
      <w:contextualSpacing/>
    </w:pPr>
  </w:style>
  <w:style w:type="paragraph" w:styleId="Poprawka">
    <w:name w:val="Revision"/>
    <w:hidden/>
    <w:uiPriority w:val="99"/>
    <w:semiHidden/>
    <w:rsid w:val="00365BC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B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BC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Styl moj Znak,Dot pt Znak,F5 List Paragraph Znak,List Paragraph1 Znak,No Spacing1 Znak,List Paragraph Char Char Char Znak,Indicator Text Znak,Colorful List - Accent 11 Znak,Numbered Para 1 Znak,Bullet 1 Znak,Bullet Points Znak"/>
    <w:link w:val="Akapitzlist"/>
    <w:uiPriority w:val="34"/>
    <w:qFormat/>
    <w:locked/>
    <w:rsid w:val="00365BCD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300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300B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0B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C015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alibri" w:eastAsia="Calibri" w:hAnsi="Calibri"/>
      <w:lang w:val="en-US" w:eastAsia="x-none"/>
    </w:rPr>
  </w:style>
  <w:style w:type="character" w:customStyle="1" w:styleId="NagwekZnak">
    <w:name w:val="Nagłówek Znak"/>
    <w:basedOn w:val="Domylnaczcionkaakapitu"/>
    <w:link w:val="Nagwek"/>
    <w:rsid w:val="009C015B"/>
    <w:rPr>
      <w:rFonts w:ascii="Calibri" w:eastAsia="Calibri" w:hAnsi="Calibri" w:cs="Times New Roman"/>
      <w:sz w:val="20"/>
      <w:szCs w:val="20"/>
      <w:lang w:val="en-US" w:eastAsia="x-none"/>
    </w:rPr>
  </w:style>
  <w:style w:type="paragraph" w:customStyle="1" w:styleId="pf1">
    <w:name w:val="pf1"/>
    <w:basedOn w:val="Normalny"/>
    <w:rsid w:val="008D2F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f0">
    <w:name w:val="pf0"/>
    <w:basedOn w:val="Normalny"/>
    <w:rsid w:val="008D2F4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f01">
    <w:name w:val="cf01"/>
    <w:basedOn w:val="Domylnaczcionkaakapitu"/>
    <w:rsid w:val="008D2F43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8D2F43"/>
    <w:rPr>
      <w:rFonts w:ascii="Segoe UI" w:hAnsi="Segoe UI" w:cs="Segoe UI" w:hint="default"/>
      <w:i/>
      <w:iCs/>
      <w:sz w:val="18"/>
      <w:szCs w:val="18"/>
    </w:rPr>
  </w:style>
  <w:style w:type="character" w:customStyle="1" w:styleId="cf31">
    <w:name w:val="cf31"/>
    <w:basedOn w:val="Domylnaczcionkaakapitu"/>
    <w:rsid w:val="008D2F43"/>
    <w:rPr>
      <w:rFonts w:ascii="Segoe UI" w:hAnsi="Segoe UI" w:cs="Segoe UI" w:hint="default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0D59-F63C-435C-96D9-CDFB555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932</Words>
  <Characters>5593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Bonek Przemysław</dc:creator>
  <cp:keywords/>
  <dc:description/>
  <cp:lastModifiedBy>Królak-Buzakowska Joanna</cp:lastModifiedBy>
  <cp:revision>2</cp:revision>
  <cp:lastPrinted>2019-07-31T12:54:00Z</cp:lastPrinted>
  <dcterms:created xsi:type="dcterms:W3CDTF">2023-09-29T09:38:00Z</dcterms:created>
  <dcterms:modified xsi:type="dcterms:W3CDTF">2023-09-29T09:38:00Z</dcterms:modified>
</cp:coreProperties>
</file>